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C1420B" w:rsidRPr="00846A32" w14:paraId="0870C9AA" w14:textId="77777777" w:rsidTr="00033C2B">
        <w:trPr>
          <w:jc w:val="center"/>
        </w:trPr>
        <w:tc>
          <w:tcPr>
            <w:tcW w:w="10768" w:type="dxa"/>
          </w:tcPr>
          <w:p w14:paraId="4237D514" w14:textId="07F15DB2" w:rsidR="00C1420B" w:rsidRPr="00846A32" w:rsidRDefault="00C1420B" w:rsidP="00033C2B">
            <w:pPr>
              <w:jc w:val="center"/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 w:rsidRPr="00846A32">
              <w:rPr>
                <w:rFonts w:asciiTheme="majorHAnsi" w:hAnsiTheme="majorHAnsi"/>
                <w:b/>
                <w:bCs/>
              </w:rPr>
              <w:t>Cas pratiques - 2026FCS0007</w:t>
            </w:r>
          </w:p>
          <w:p w14:paraId="72F62D5D" w14:textId="77777777" w:rsidR="00C1420B" w:rsidRPr="00846A32" w:rsidRDefault="00C1420B" w:rsidP="00033C2B">
            <w:pPr>
              <w:jc w:val="center"/>
              <w:rPr>
                <w:rFonts w:asciiTheme="majorHAnsi" w:hAnsiTheme="majorHAnsi"/>
                <w:b/>
                <w:bCs/>
                <w:i/>
                <w:iCs/>
                <w:sz w:val="24"/>
                <w:szCs w:val="24"/>
              </w:rPr>
            </w:pPr>
            <w:r w:rsidRPr="00846A32">
              <w:rPr>
                <w:rFonts w:asciiTheme="majorHAnsi" w:hAnsiTheme="majorHAnsi"/>
                <w:b/>
                <w:bCs/>
                <w:i/>
                <w:iCs/>
                <w:sz w:val="24"/>
                <w:szCs w:val="24"/>
              </w:rPr>
              <w:t xml:space="preserve">Maintenance préventive et corrective des installations de sécurité incendie et de détection multi-gaz </w:t>
            </w:r>
          </w:p>
          <w:p w14:paraId="69374577" w14:textId="77777777" w:rsidR="00C1420B" w:rsidRPr="00846A32" w:rsidRDefault="00C1420B" w:rsidP="00033C2B">
            <w:pPr>
              <w:jc w:val="center"/>
              <w:rPr>
                <w:rFonts w:asciiTheme="majorHAnsi" w:hAnsiTheme="majorHAnsi"/>
                <w:b/>
                <w:bCs/>
                <w:i/>
                <w:iCs/>
              </w:rPr>
            </w:pPr>
          </w:p>
        </w:tc>
      </w:tr>
      <w:tr w:rsidR="00C1420B" w:rsidRPr="00846A32" w14:paraId="636D25E7" w14:textId="77777777" w:rsidTr="00033C2B">
        <w:trPr>
          <w:jc w:val="center"/>
        </w:trPr>
        <w:tc>
          <w:tcPr>
            <w:tcW w:w="10768" w:type="dxa"/>
          </w:tcPr>
          <w:p w14:paraId="69F533A8" w14:textId="77777777" w:rsidR="00C1420B" w:rsidRPr="00846A32" w:rsidRDefault="00C1420B" w:rsidP="00033C2B">
            <w:pPr>
              <w:jc w:val="center"/>
              <w:rPr>
                <w:rFonts w:asciiTheme="majorHAnsi" w:hAnsiTheme="majorHAnsi"/>
                <w:b/>
                <w:bCs/>
                <w:color w:val="FF0000"/>
              </w:rPr>
            </w:pPr>
          </w:p>
          <w:p w14:paraId="7ECB9702" w14:textId="038282EA" w:rsidR="00C1420B" w:rsidRPr="00846A32" w:rsidRDefault="00C1420B" w:rsidP="00033C2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846A32">
              <w:rPr>
                <w:rFonts w:asciiTheme="majorHAnsi" w:hAnsiTheme="majorHAnsi"/>
                <w:b/>
                <w:bCs/>
                <w:color w:val="FF0000"/>
              </w:rPr>
              <w:t xml:space="preserve">LOT </w:t>
            </w:r>
            <w:r w:rsidR="00977342">
              <w:rPr>
                <w:rFonts w:asciiTheme="majorHAnsi" w:hAnsiTheme="majorHAnsi"/>
                <w:b/>
                <w:bCs/>
                <w:color w:val="FF0000"/>
              </w:rPr>
              <w:t xml:space="preserve">2 </w:t>
            </w:r>
            <w:r w:rsidRPr="00846A32">
              <w:rPr>
                <w:rFonts w:asciiTheme="majorHAnsi" w:hAnsiTheme="majorHAnsi"/>
                <w:b/>
                <w:bCs/>
                <w:color w:val="FF0000"/>
              </w:rPr>
              <w:t xml:space="preserve">: </w:t>
            </w:r>
            <w:r w:rsidR="00977342" w:rsidRPr="00EF208C">
              <w:rPr>
                <w:b/>
                <w:bCs/>
                <w:color w:val="FF0000"/>
              </w:rPr>
              <w:t xml:space="preserve">MAINTENANCE DES </w:t>
            </w:r>
            <w:r w:rsidR="00977342">
              <w:rPr>
                <w:b/>
                <w:bCs/>
                <w:color w:val="FF0000"/>
              </w:rPr>
              <w:t>ÉQUIPEMENTS DE DÉSENFUMAGE ASSERVIS ET NON ASSERVIS (NATUREL / MÉCANIQUE – NATUREL / NATUREL) ET ALARMES DE TYPE 2B, 3 ET 4</w:t>
            </w:r>
          </w:p>
        </w:tc>
      </w:tr>
    </w:tbl>
    <w:p w14:paraId="385A782C" w14:textId="2248F73A" w:rsidR="00C1420B" w:rsidRPr="00846A32" w:rsidRDefault="00C1420B" w:rsidP="00C1420B">
      <w:pPr>
        <w:rPr>
          <w:rFonts w:asciiTheme="majorHAnsi" w:hAnsiTheme="majorHAnsi"/>
          <w:i/>
          <w:iCs/>
        </w:rPr>
      </w:pPr>
    </w:p>
    <w:tbl>
      <w:tblPr>
        <w:tblStyle w:val="Grilledutableau"/>
        <w:tblW w:w="0" w:type="auto"/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9062"/>
      </w:tblGrid>
      <w:tr w:rsidR="00C1420B" w:rsidRPr="00846A32" w14:paraId="607856F5" w14:textId="77777777" w:rsidTr="00C1420B">
        <w:tc>
          <w:tcPr>
            <w:tcW w:w="9062" w:type="dxa"/>
            <w:shd w:val="clear" w:color="auto" w:fill="C1E4F5" w:themeFill="accent1" w:themeFillTint="33"/>
          </w:tcPr>
          <w:p w14:paraId="1683A249" w14:textId="77777777" w:rsidR="00C1420B" w:rsidRPr="00846A32" w:rsidRDefault="00C1420B" w:rsidP="00C1420B">
            <w:pPr>
              <w:rPr>
                <w:rFonts w:asciiTheme="majorHAnsi" w:hAnsiTheme="majorHAnsi"/>
                <w:i/>
                <w:iCs/>
              </w:rPr>
            </w:pPr>
            <w:r w:rsidRPr="00846A32">
              <w:rPr>
                <w:rFonts w:asciiTheme="majorHAnsi" w:hAnsiTheme="majorHAnsi"/>
                <w:i/>
                <w:iCs/>
              </w:rPr>
              <w:t>Il est attendu des candidats qu’ils chiffrent le(s) cas pratique(s) ci-dessous.</w:t>
            </w:r>
          </w:p>
          <w:p w14:paraId="6217FDC1" w14:textId="4F485B45" w:rsidR="00846A32" w:rsidRDefault="00846A32" w:rsidP="00846A32">
            <w:pPr>
              <w:tabs>
                <w:tab w:val="center" w:pos="4819"/>
              </w:tabs>
              <w:spacing w:after="120"/>
              <w:jc w:val="both"/>
              <w:rPr>
                <w:rFonts w:asciiTheme="majorHAnsi" w:hAnsiTheme="majorHAnsi"/>
                <w:b/>
                <w:bCs/>
                <w:i/>
                <w:iCs/>
              </w:rPr>
            </w:pPr>
            <w:r w:rsidRPr="00846A32">
              <w:rPr>
                <w:rFonts w:asciiTheme="majorHAnsi" w:hAnsiTheme="majorHAnsi"/>
                <w:b/>
                <w:bCs/>
                <w:i/>
                <w:iCs/>
              </w:rPr>
              <w:t>Dans chaque cas pratique, le temps de travail hors déplacement est toujours inférieur à une heure.</w:t>
            </w:r>
          </w:p>
          <w:p w14:paraId="2C2255E4" w14:textId="0DEA3D39" w:rsidR="00846A32" w:rsidRPr="00846A32" w:rsidRDefault="00846A32" w:rsidP="00846A32">
            <w:pPr>
              <w:tabs>
                <w:tab w:val="center" w:pos="4819"/>
              </w:tabs>
              <w:spacing w:after="120"/>
              <w:jc w:val="both"/>
              <w:rPr>
                <w:rFonts w:asciiTheme="majorHAnsi" w:hAnsiTheme="majorHAnsi" w:cs="Arial"/>
                <w:b/>
                <w:bCs/>
              </w:rPr>
            </w:pPr>
            <w:r>
              <w:rPr>
                <w:rFonts w:asciiTheme="majorHAnsi" w:hAnsiTheme="majorHAnsi" w:cs="Arial"/>
                <w:b/>
                <w:bCs/>
              </w:rPr>
              <w:t>Il est attendu un chiffrage comprenant le déplacement, l’intervention (main d’œuvre), la programmation (au besoin) et la fourniture.</w:t>
            </w:r>
          </w:p>
          <w:p w14:paraId="52F58B08" w14:textId="77777777" w:rsidR="00C1420B" w:rsidRPr="00846A32" w:rsidRDefault="00C1420B" w:rsidP="00C1420B">
            <w:pPr>
              <w:rPr>
                <w:rFonts w:asciiTheme="majorHAnsi" w:hAnsiTheme="majorHAnsi"/>
                <w:i/>
                <w:iCs/>
              </w:rPr>
            </w:pPr>
            <w:r w:rsidRPr="00846A32">
              <w:rPr>
                <w:rFonts w:asciiTheme="majorHAnsi" w:hAnsiTheme="majorHAnsi"/>
                <w:i/>
                <w:iCs/>
              </w:rPr>
              <w:t xml:space="preserve">Pour tout poste commun, le BPU prévaut : les intitulés et tarifs doivent être repris à l'identique. </w:t>
            </w:r>
          </w:p>
          <w:p w14:paraId="30E39ACF" w14:textId="77777777" w:rsidR="00C1420B" w:rsidRPr="00846A32" w:rsidRDefault="00C1420B" w:rsidP="00C1420B">
            <w:pPr>
              <w:rPr>
                <w:rFonts w:asciiTheme="majorHAnsi" w:hAnsiTheme="majorHAnsi"/>
                <w:i/>
                <w:iCs/>
              </w:rPr>
            </w:pPr>
            <w:r w:rsidRPr="00846A32">
              <w:rPr>
                <w:rFonts w:asciiTheme="majorHAnsi" w:hAnsiTheme="majorHAnsi"/>
                <w:i/>
                <w:iCs/>
              </w:rPr>
              <w:t>Le chiffrage devra, au besoin, également faire apparaître le coefficient de sous-traitance.</w:t>
            </w:r>
          </w:p>
          <w:p w14:paraId="26B6B611" w14:textId="77777777" w:rsidR="00C1420B" w:rsidRPr="00846A32" w:rsidRDefault="00C1420B" w:rsidP="00C1420B">
            <w:pPr>
              <w:rPr>
                <w:rFonts w:asciiTheme="majorHAnsi" w:hAnsiTheme="majorHAnsi"/>
                <w:i/>
                <w:iCs/>
              </w:rPr>
            </w:pPr>
            <w:r w:rsidRPr="00846A32">
              <w:rPr>
                <w:rFonts w:asciiTheme="majorHAnsi" w:hAnsiTheme="majorHAnsi"/>
                <w:i/>
                <w:iCs/>
              </w:rPr>
              <w:t xml:space="preserve">Le candidat veille à </w:t>
            </w:r>
          </w:p>
          <w:p w14:paraId="4A736CDD" w14:textId="77777777" w:rsidR="00C1420B" w:rsidRPr="00846A32" w:rsidRDefault="00C1420B" w:rsidP="00C1420B">
            <w:pPr>
              <w:pStyle w:val="Paragraphedeliste"/>
              <w:numPr>
                <w:ilvl w:val="0"/>
                <w:numId w:val="1"/>
              </w:numPr>
              <w:rPr>
                <w:rFonts w:asciiTheme="majorHAnsi" w:hAnsiTheme="majorHAnsi"/>
                <w:i/>
                <w:iCs/>
              </w:rPr>
            </w:pPr>
            <w:r w:rsidRPr="00846A32">
              <w:rPr>
                <w:rFonts w:asciiTheme="majorHAnsi" w:hAnsiTheme="majorHAnsi"/>
                <w:i/>
                <w:iCs/>
              </w:rPr>
              <w:t xml:space="preserve">Détailler les postes chiffrés en indiquant les postes et pas uniquement un tarif </w:t>
            </w:r>
          </w:p>
          <w:p w14:paraId="78648A24" w14:textId="77777777" w:rsidR="00207D67" w:rsidRPr="00846A32" w:rsidRDefault="00207D67" w:rsidP="00207D67">
            <w:pPr>
              <w:pStyle w:val="Paragraphedeliste"/>
              <w:numPr>
                <w:ilvl w:val="0"/>
                <w:numId w:val="1"/>
              </w:numPr>
              <w:spacing w:after="160" w:line="259" w:lineRule="auto"/>
              <w:rPr>
                <w:rFonts w:asciiTheme="majorHAnsi" w:hAnsiTheme="majorHAnsi"/>
                <w:i/>
                <w:iCs/>
              </w:rPr>
            </w:pPr>
            <w:r w:rsidRPr="00846A32">
              <w:rPr>
                <w:rFonts w:asciiTheme="majorHAnsi" w:hAnsiTheme="majorHAnsi"/>
                <w:i/>
                <w:iCs/>
              </w:rPr>
              <w:t>Faire apparaître au besoin le coefficient de sous-traitance</w:t>
            </w:r>
            <w:r>
              <w:rPr>
                <w:rFonts w:asciiTheme="majorHAnsi" w:hAnsiTheme="majorHAnsi"/>
                <w:i/>
                <w:iCs/>
              </w:rPr>
              <w:t xml:space="preserve"> / coefficient sur les pièces</w:t>
            </w:r>
          </w:p>
          <w:p w14:paraId="7E6AC0EE" w14:textId="26818954" w:rsidR="00C1420B" w:rsidRPr="00846A32" w:rsidRDefault="00C1420B" w:rsidP="00C1420B">
            <w:pPr>
              <w:pStyle w:val="Paragraphedeliste"/>
              <w:numPr>
                <w:ilvl w:val="0"/>
                <w:numId w:val="1"/>
              </w:numPr>
              <w:rPr>
                <w:rFonts w:asciiTheme="majorHAnsi" w:hAnsiTheme="majorHAnsi"/>
                <w:i/>
                <w:iCs/>
              </w:rPr>
            </w:pPr>
            <w:r w:rsidRPr="00846A32">
              <w:rPr>
                <w:rFonts w:asciiTheme="majorHAnsi" w:hAnsiTheme="majorHAnsi"/>
                <w:i/>
                <w:iCs/>
              </w:rPr>
              <w:t>Indiquer le tarif HT et TTC</w:t>
            </w:r>
          </w:p>
        </w:tc>
      </w:tr>
    </w:tbl>
    <w:p w14:paraId="3501A5E4" w14:textId="77777777" w:rsidR="00C1420B" w:rsidRPr="00846A32" w:rsidRDefault="00C1420B" w:rsidP="00C1420B">
      <w:pPr>
        <w:rPr>
          <w:rFonts w:asciiTheme="majorHAnsi" w:hAnsiTheme="majorHAnsi"/>
          <w:i/>
          <w:iCs/>
        </w:rPr>
      </w:pPr>
    </w:p>
    <w:p w14:paraId="0A8E9F5E" w14:textId="7AD06578" w:rsidR="004F6417" w:rsidRDefault="004F6417" w:rsidP="00977342">
      <w:pPr>
        <w:spacing w:after="120"/>
        <w:jc w:val="both"/>
        <w:rPr>
          <w:rFonts w:asciiTheme="majorHAnsi" w:hAnsiTheme="majorHAnsi" w:cs="Arial"/>
        </w:rPr>
      </w:pPr>
      <w:r w:rsidRPr="004F6417">
        <w:rPr>
          <w:rFonts w:asciiTheme="majorHAnsi" w:hAnsiTheme="majorHAnsi" w:cs="Arial"/>
        </w:rPr>
        <w:t>Cas pratique</w:t>
      </w:r>
      <w:r>
        <w:rPr>
          <w:rFonts w:asciiTheme="majorHAnsi" w:hAnsiTheme="majorHAnsi" w:cs="Arial"/>
        </w:rPr>
        <w:t xml:space="preserve"> 1</w:t>
      </w:r>
      <w:r w:rsidRPr="004F6417">
        <w:rPr>
          <w:rFonts w:asciiTheme="majorHAnsi" w:hAnsiTheme="majorHAnsi" w:cs="Arial"/>
        </w:rPr>
        <w:t xml:space="preserve"> : suite à un déclenchement d’un désenfumage pneumatique à gaz, remplacement de la cartouche d’ouverture et de fermeture 2x80g </w:t>
      </w:r>
    </w:p>
    <w:sectPr w:rsidR="004F64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4C3DD0"/>
    <w:multiLevelType w:val="hybridMultilevel"/>
    <w:tmpl w:val="7876A198"/>
    <w:lvl w:ilvl="0" w:tplc="F988A3D4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4890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065"/>
    <w:rsid w:val="001273A8"/>
    <w:rsid w:val="00207D67"/>
    <w:rsid w:val="004F6417"/>
    <w:rsid w:val="005058D9"/>
    <w:rsid w:val="00536065"/>
    <w:rsid w:val="006B29B9"/>
    <w:rsid w:val="00846A32"/>
    <w:rsid w:val="00881572"/>
    <w:rsid w:val="00977342"/>
    <w:rsid w:val="00C1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40A9F"/>
  <w15:chartTrackingRefBased/>
  <w15:docId w15:val="{A7F9756D-345F-448C-9A66-A3B3758A7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20B"/>
  </w:style>
  <w:style w:type="paragraph" w:styleId="Titre1">
    <w:name w:val="heading 1"/>
    <w:basedOn w:val="Normal"/>
    <w:next w:val="Normal"/>
    <w:link w:val="Titre1Car"/>
    <w:uiPriority w:val="9"/>
    <w:qFormat/>
    <w:rsid w:val="005360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360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360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360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360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360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360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360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360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360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360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360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3606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3606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3606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3606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3606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3606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360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360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360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360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360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3606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3606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3606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360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3606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36065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C14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177</Words>
  <Characters>977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Maxine BARRAILLE</dc:creator>
  <cp:keywords/>
  <dc:description/>
  <cp:lastModifiedBy>Maxine BARRAILLE</cp:lastModifiedBy>
  <cp:revision>6</cp:revision>
  <dcterms:created xsi:type="dcterms:W3CDTF">2026-03-11T14:33:00Z</dcterms:created>
  <dcterms:modified xsi:type="dcterms:W3CDTF">2026-03-11T15:07:00Z</dcterms:modified>
</cp:coreProperties>
</file>